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13D8" w:rsidRPr="00B11F21" w:rsidRDefault="00B11F21">
      <w:pPr>
        <w:pStyle w:val="Default"/>
        <w:spacing w:after="240"/>
        <w:jc w:val="both"/>
        <w:rPr>
          <w:rFonts w:ascii="Georgia" w:eastAsia="MrsEavesSmallCaps" w:hAnsi="Georgia" w:cs="MrsEavesSmallCaps"/>
          <w:b/>
          <w:color w:val="501863" w:themeColor="accent6" w:themeShade="BF"/>
          <w:sz w:val="40"/>
          <w:szCs w:val="40"/>
        </w:rPr>
      </w:pPr>
      <w:r w:rsidRPr="00B11F21">
        <w:rPr>
          <w:rFonts w:ascii="Georgia" w:hAnsi="Georgia"/>
          <w:b/>
          <w:bCs/>
          <w:color w:val="501863" w:themeColor="accent6" w:themeShade="BF"/>
          <w:sz w:val="40"/>
          <w:szCs w:val="40"/>
        </w:rPr>
        <w:t xml:space="preserve">Thrace Wine Competition 2018 </w:t>
      </w:r>
      <w:r w:rsidR="00022288" w:rsidRPr="00B11F21">
        <w:rPr>
          <w:rFonts w:ascii="Georgia" w:hAnsi="Georgia"/>
          <w:b/>
          <w:color w:val="501863" w:themeColor="accent6" w:themeShade="BF"/>
          <w:sz w:val="40"/>
          <w:szCs w:val="40"/>
        </w:rPr>
        <w:t>J</w:t>
      </w:r>
      <w:r w:rsidR="000611A7" w:rsidRPr="00B11F21">
        <w:rPr>
          <w:rFonts w:ascii="Georgia" w:hAnsi="Georgia"/>
          <w:b/>
          <w:color w:val="501863" w:themeColor="accent6" w:themeShade="BF"/>
          <w:sz w:val="40"/>
          <w:szCs w:val="40"/>
        </w:rPr>
        <w:t>üri Üyeleri</w:t>
      </w:r>
      <w:bookmarkStart w:id="0" w:name="_GoBack"/>
      <w:bookmarkEnd w:id="0"/>
    </w:p>
    <w:p w:rsidR="00EB13D8" w:rsidRDefault="000611A7">
      <w:pPr>
        <w:pStyle w:val="Defaul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Kenichi Ohashi, MW</w:t>
      </w:r>
      <w:r>
        <w:rPr>
          <w:rFonts w:ascii="Times" w:eastAsia="Times" w:hAnsi="Times" w:cs="Times"/>
          <w:b/>
          <w:bCs/>
          <w:noProof/>
          <w:sz w:val="26"/>
          <w:szCs w:val="26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213871</wp:posOffset>
            </wp:positionV>
            <wp:extent cx="1098154" cy="12693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154" cy="1269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13D8" w:rsidRDefault="00EB13D8">
      <w:pPr>
        <w:pStyle w:val="Default"/>
        <w:jc w:val="both"/>
        <w:rPr>
          <w:rFonts w:ascii="Times" w:eastAsia="Times" w:hAnsi="Times" w:cs="Times"/>
          <w:sz w:val="20"/>
          <w:szCs w:val="20"/>
        </w:rPr>
      </w:pPr>
    </w:p>
    <w:p w:rsidR="00716703" w:rsidRDefault="000611A7" w:rsidP="00716703">
      <w:pPr>
        <w:rPr>
          <w:rFonts w:eastAsia="Times New Roman"/>
        </w:rPr>
      </w:pPr>
      <w:r>
        <w:rPr>
          <w:rFonts w:ascii="Times" w:hAnsi="Times"/>
        </w:rPr>
        <w:t>Kenichi (Ken) Ohashi</w:t>
      </w:r>
      <w:r w:rsidR="00C91326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716703">
        <w:rPr>
          <w:rFonts w:eastAsia="Times New Roman"/>
        </w:rPr>
        <w:t xml:space="preserve">Master of Wine, Tokyo, Japon şarap ve sake uzmanıdır. 1992 yılında, kariyerine aile şirketi olan Sake dağıtımcısı Yamajin co., Ltd. de başladı </w:t>
      </w:r>
      <w:r w:rsidR="008779FF">
        <w:rPr>
          <w:rFonts w:eastAsia="Times New Roman"/>
        </w:rPr>
        <w:t xml:space="preserve">daha sonra  </w:t>
      </w:r>
      <w:r w:rsidR="00716703">
        <w:rPr>
          <w:rFonts w:eastAsia="Times New Roman"/>
        </w:rPr>
        <w:t>kendi danışmanlık firması olan Red Bridge co., Ltd. yi kurdu</w:t>
      </w:r>
      <w:r w:rsidR="008F4C1A">
        <w:rPr>
          <w:rFonts w:eastAsia="Times New Roman"/>
        </w:rPr>
        <w:t xml:space="preserve">. </w:t>
      </w:r>
      <w:r w:rsidR="00716703">
        <w:rPr>
          <w:rFonts w:eastAsia="Times New Roman"/>
        </w:rPr>
        <w:t>Aynı zamanda şarap, sake ve farklı alkollü içkiler toptancısı Somersault'un yönetim direktörüdür. Japon şarap pazarındaki en önemli uzmanlardan biridir. 2004 yılında</w:t>
      </w:r>
      <w:r w:rsidR="008779FF">
        <w:rPr>
          <w:rFonts w:eastAsia="Times New Roman"/>
        </w:rPr>
        <w:t xml:space="preserve"> yazdığı</w:t>
      </w:r>
      <w:r w:rsidR="00716703">
        <w:rPr>
          <w:rFonts w:eastAsia="Times New Roman"/>
        </w:rPr>
        <w:t xml:space="preserve"> “Doğal Şarap” </w:t>
      </w:r>
      <w:r w:rsidR="008F4C1A">
        <w:rPr>
          <w:rFonts w:eastAsia="Times New Roman"/>
        </w:rPr>
        <w:t>isimli</w:t>
      </w:r>
      <w:r w:rsidR="008779FF">
        <w:rPr>
          <w:rFonts w:eastAsia="Times New Roman"/>
        </w:rPr>
        <w:t xml:space="preserve"> kitap </w:t>
      </w:r>
      <w:r w:rsidR="00716703">
        <w:rPr>
          <w:rFonts w:eastAsia="Times New Roman"/>
        </w:rPr>
        <w:t>bugün</w:t>
      </w:r>
      <w:r w:rsidR="008779FF">
        <w:rPr>
          <w:rFonts w:eastAsia="Times New Roman"/>
        </w:rPr>
        <w:t xml:space="preserve"> hala</w:t>
      </w:r>
      <w:r w:rsidR="00716703">
        <w:rPr>
          <w:rFonts w:eastAsia="Times New Roman"/>
        </w:rPr>
        <w:t xml:space="preserve"> sektörün referans metni olarak kabu</w:t>
      </w:r>
      <w:r w:rsidR="008779FF">
        <w:rPr>
          <w:rFonts w:eastAsia="Times New Roman"/>
        </w:rPr>
        <w:t xml:space="preserve">l ediliyor. Jancis Robinson MW </w:t>
      </w:r>
      <w:r w:rsidR="00716703">
        <w:rPr>
          <w:rFonts w:eastAsia="Times New Roman"/>
        </w:rPr>
        <w:t xml:space="preserve">tarafından </w:t>
      </w:r>
      <w:r w:rsidR="008779FF">
        <w:rPr>
          <w:rFonts w:eastAsia="Times New Roman"/>
        </w:rPr>
        <w:t>hazırlanan</w:t>
      </w:r>
      <w:r w:rsidR="00716703">
        <w:rPr>
          <w:rFonts w:eastAsia="Times New Roman"/>
        </w:rPr>
        <w:t xml:space="preserve"> The Wine 7th Edition Dünya Atlası'na katkıda bulundu. Ayrıca IWC (Uluslararası Şarap Yarışması Londra) tar</w:t>
      </w:r>
      <w:r w:rsidR="008779FF">
        <w:rPr>
          <w:rFonts w:eastAsia="Times New Roman"/>
        </w:rPr>
        <w:t>afından 2016 yılının en saygın kişiliği ünvanını</w:t>
      </w:r>
      <w:r w:rsidR="00716703">
        <w:rPr>
          <w:rFonts w:eastAsia="Times New Roman"/>
        </w:rPr>
        <w:t xml:space="preserve"> kazandı.</w:t>
      </w:r>
    </w:p>
    <w:p w:rsidR="00716703" w:rsidRDefault="008F7AB9" w:rsidP="00716703">
      <w:pPr>
        <w:rPr>
          <w:rFonts w:eastAsia="Times New Roman"/>
        </w:rPr>
      </w:pPr>
      <w:hyperlink r:id="rId7" w:history="1">
        <w:r w:rsidR="00716703">
          <w:rPr>
            <w:rStyle w:val="Hyperlink"/>
            <w:rFonts w:eastAsia="Times New Roman"/>
          </w:rPr>
          <w:t>http://www.redbridge.jp</w:t>
        </w:r>
      </w:hyperlink>
    </w:p>
    <w:p w:rsidR="00EB13D8" w:rsidRDefault="00EB13D8" w:rsidP="00716703">
      <w:pPr>
        <w:shd w:val="clear" w:color="auto" w:fill="FFFFFF"/>
        <w:rPr>
          <w:rFonts w:ascii="Times" w:eastAsia="Times" w:hAnsi="Times" w:cs="Times"/>
        </w:rPr>
      </w:pPr>
    </w:p>
    <w:p w:rsidR="00933C92" w:rsidRDefault="00933C92" w:rsidP="00716703">
      <w:pPr>
        <w:shd w:val="clear" w:color="auto" w:fill="FFFFFF"/>
        <w:rPr>
          <w:rFonts w:ascii="Times" w:eastAsia="Times" w:hAnsi="Times" w:cs="Times"/>
        </w:rPr>
      </w:pPr>
    </w:p>
    <w:p w:rsidR="00933C92" w:rsidRDefault="00933C92" w:rsidP="00716703">
      <w:pPr>
        <w:shd w:val="clear" w:color="auto" w:fill="FFFFFF"/>
        <w:rPr>
          <w:rFonts w:ascii="Times" w:eastAsia="Times" w:hAnsi="Times" w:cs="Times"/>
        </w:rPr>
      </w:pPr>
    </w:p>
    <w:p w:rsidR="00EB13D8" w:rsidRDefault="000611A7">
      <w:pPr>
        <w:pStyle w:val="Defaul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Andreas Larsson, Best Sommelier of the World (ASI 2007)</w:t>
      </w:r>
      <w:r>
        <w:rPr>
          <w:rFonts w:ascii="Times" w:eastAsia="Times" w:hAnsi="Times" w:cs="Times"/>
          <w:b/>
          <w:bCs/>
          <w:noProof/>
          <w:sz w:val="26"/>
          <w:szCs w:val="26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258504</wp:posOffset>
            </wp:positionV>
            <wp:extent cx="1098250" cy="149183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98" y="21600"/>
                <wp:lineTo x="21598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3191" r="13191"/>
                    <a:stretch>
                      <a:fillRect/>
                    </a:stretch>
                  </pic:blipFill>
                  <pic:spPr>
                    <a:xfrm>
                      <a:off x="0" y="0"/>
                      <a:ext cx="1098250" cy="1491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13D8" w:rsidRDefault="00EB13D8">
      <w:pPr>
        <w:pStyle w:val="Default"/>
        <w:jc w:val="both"/>
        <w:rPr>
          <w:rFonts w:ascii="Times" w:eastAsia="Times" w:hAnsi="Times" w:cs="Times"/>
          <w:sz w:val="20"/>
          <w:szCs w:val="20"/>
        </w:rPr>
      </w:pP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Andreas Larsson'nın kariyeri 16 yaşında tutkusunu takip ederek şef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okuluna girmesiyle başladı. Kariyerine şef olarak devam ederken,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şarap endüstrisi ilgisini çekti ve şarap bölgerine yaptığı sayısız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seyahatlerinde binlerce şarap tadımı yaptı. İsveç, İskandinavya ve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Avrupa'nın en iyi Somelyesi ünvanını elde ettikten sonra, 2007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yılında Dünyanın En İyi Somelyesi ünvanı ile taçlandırıldı. Larsson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bugün zamanını İsveçte ünlü olan PM &amp; Vänner in Växjö restoranin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Şarap Direktörlüğü ve 25,000 şişe ve dünya çapında 3,300 referansı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olan şaraplardan sorumlu olarak aynı zamanda dünya çapında seyahat ederek,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tadımlar yapıp, konuşmacı ve danışmanlık hizmeti vererek geçiriyor. Larsson ayrıca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2013 yılından beri Decanter World Wine Awards'da juri üyesidir.</w:t>
      </w:r>
    </w:p>
    <w:p w:rsidR="00EB13D8" w:rsidRDefault="0055333E" w:rsidP="0055333E">
      <w:pPr>
        <w:pStyle w:val="Default"/>
        <w:jc w:val="both"/>
        <w:rPr>
          <w:rFonts w:ascii="Times" w:hAnsi="Times"/>
          <w:lang w:val="en-US"/>
        </w:rPr>
      </w:pPr>
      <w:r w:rsidRPr="0055333E">
        <w:rPr>
          <w:rFonts w:ascii="Times" w:hAnsi="Times"/>
          <w:lang w:val="en-US"/>
        </w:rPr>
        <w:t>http://www.andreaslarsson.org</w:t>
      </w:r>
    </w:p>
    <w:p w:rsidR="0055333E" w:rsidRDefault="0055333E" w:rsidP="0055333E">
      <w:pPr>
        <w:pStyle w:val="Default"/>
        <w:jc w:val="both"/>
        <w:rPr>
          <w:rFonts w:ascii="Times" w:hAnsi="Times"/>
          <w:lang w:val="en-US"/>
        </w:rPr>
      </w:pPr>
    </w:p>
    <w:p w:rsidR="0055333E" w:rsidRDefault="0055333E" w:rsidP="0055333E">
      <w:pPr>
        <w:pStyle w:val="Default"/>
        <w:jc w:val="both"/>
        <w:rPr>
          <w:rFonts w:ascii="Times" w:hAnsi="Times"/>
          <w:lang w:val="en-US"/>
        </w:rPr>
      </w:pPr>
    </w:p>
    <w:p w:rsidR="0055333E" w:rsidRDefault="0055333E" w:rsidP="0055333E">
      <w:pPr>
        <w:pStyle w:val="Default"/>
        <w:jc w:val="both"/>
        <w:rPr>
          <w:rFonts w:ascii="Times" w:eastAsia="Times" w:hAnsi="Times" w:cs="Times"/>
          <w:b/>
          <w:bCs/>
          <w:sz w:val="26"/>
          <w:szCs w:val="26"/>
        </w:rPr>
      </w:pPr>
    </w:p>
    <w:p w:rsidR="00EB13D8" w:rsidRDefault="000611A7">
      <w:pPr>
        <w:pStyle w:val="Defaul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Peter McCombie, MW</w:t>
      </w:r>
      <w:r>
        <w:rPr>
          <w:rFonts w:ascii="Times" w:eastAsia="Times" w:hAnsi="Times" w:cs="Times"/>
          <w:b/>
          <w:bCs/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217513</wp:posOffset>
            </wp:positionV>
            <wp:extent cx="1097961" cy="1394580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4" y="21601"/>
                <wp:lineTo x="21604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tif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25242" r="25242"/>
                    <a:stretch>
                      <a:fillRect/>
                    </a:stretch>
                  </pic:blipFill>
                  <pic:spPr>
                    <a:xfrm>
                      <a:off x="0" y="0"/>
                      <a:ext cx="1097961" cy="1394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13D8" w:rsidRDefault="00EB13D8">
      <w:pPr>
        <w:pStyle w:val="Default"/>
        <w:rPr>
          <w:rFonts w:ascii="Times" w:eastAsia="Times" w:hAnsi="Times" w:cs="Times"/>
          <w:sz w:val="20"/>
          <w:szCs w:val="20"/>
        </w:rPr>
      </w:pP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1994'te Master of Wine olan Peter McCombie, aralarında Cinnamon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Club, Groupe Chez Gerard, Searcy’s, Sonny’s Restaurants and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Jamie Oliver’e ait olan 15, The Dorchester, Villandry, Gruppo,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Moro ve The Zetter'in de bulunduğu çok sayıda otel ve restorana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danışmanlık yapmaktadır. McCombie aynı zamanda Master of Wine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öğrencilerine de danışmanlık vermekte, ve Square Meal, Restaurant,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wallpaper*, Dorchester Magazine, Decanter ve Sainsbury’s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Magazine için yazmakta, WINE ve Decanter için şarap degüstatörlüğü yapmaktadır.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McCombie, International Wine Challenge eş başkanlarından biridir. McCombie,</w:t>
      </w:r>
    </w:p>
    <w:p w:rsidR="0055333E" w:rsidRPr="0055333E" w:rsidRDefault="0055333E" w:rsidP="0055333E">
      <w:pPr>
        <w:pStyle w:val="Default"/>
        <w:jc w:val="both"/>
        <w:rPr>
          <w:rFonts w:ascii="Times" w:hAnsi="Times"/>
        </w:rPr>
      </w:pPr>
      <w:r w:rsidRPr="0055333E">
        <w:rPr>
          <w:rFonts w:ascii="Times" w:hAnsi="Times"/>
        </w:rPr>
        <w:t>Wines of Argentina, Air New Zealand Wine Awards, Top 100 IGP France ve Decanter</w:t>
      </w:r>
    </w:p>
    <w:p w:rsidR="00EB13D8" w:rsidRDefault="0055333E" w:rsidP="0055333E">
      <w:pPr>
        <w:pStyle w:val="Default"/>
        <w:jc w:val="both"/>
        <w:rPr>
          <w:rFonts w:ascii="Times" w:eastAsia="Times" w:hAnsi="Times" w:cs="Times"/>
        </w:rPr>
      </w:pPr>
      <w:r w:rsidRPr="0055333E">
        <w:rPr>
          <w:rFonts w:ascii="Times" w:hAnsi="Times"/>
          <w:lang w:val="en-US"/>
        </w:rPr>
        <w:t>World Wine Awards'da da jüri üyeliği yapmıştır. www.petermccombie.</w:t>
      </w:r>
      <w:r w:rsidR="000611A7">
        <w:rPr>
          <w:rFonts w:ascii="Times" w:hAnsi="Times"/>
        </w:rPr>
        <w:t xml:space="preserve"> </w:t>
      </w:r>
    </w:p>
    <w:sectPr w:rsidR="00EB13D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AB9" w:rsidRDefault="008F7AB9">
      <w:r>
        <w:separator/>
      </w:r>
    </w:p>
  </w:endnote>
  <w:endnote w:type="continuationSeparator" w:id="0">
    <w:p w:rsidR="008F7AB9" w:rsidRDefault="008F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rsEavesSmallCaps">
    <w:altName w:val="Times New Roman"/>
    <w:charset w:val="00"/>
    <w:family w:val="roman"/>
    <w:pitch w:val="default"/>
  </w:font>
  <w:font w:name="Times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3D8" w:rsidRDefault="00EB1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AB9" w:rsidRDefault="008F7AB9">
      <w:r>
        <w:separator/>
      </w:r>
    </w:p>
  </w:footnote>
  <w:footnote w:type="continuationSeparator" w:id="0">
    <w:p w:rsidR="008F7AB9" w:rsidRDefault="008F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3D8" w:rsidRDefault="00EB13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13D8"/>
    <w:rsid w:val="00022288"/>
    <w:rsid w:val="000611A7"/>
    <w:rsid w:val="0055333E"/>
    <w:rsid w:val="005E4034"/>
    <w:rsid w:val="00716703"/>
    <w:rsid w:val="00785AE6"/>
    <w:rsid w:val="00861D5F"/>
    <w:rsid w:val="008779FF"/>
    <w:rsid w:val="008F4C1A"/>
    <w:rsid w:val="008F7AB9"/>
    <w:rsid w:val="00933C92"/>
    <w:rsid w:val="00B11F21"/>
    <w:rsid w:val="00C91326"/>
    <w:rsid w:val="00E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4919"/>
  <w15:docId w15:val="{9BB648CE-A280-4BC1-9F7A-7F33707A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 w:color="777777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1"/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dbridge.j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</dc:creator>
  <cp:lastModifiedBy>Nahide MUTLU</cp:lastModifiedBy>
  <cp:revision>3</cp:revision>
  <dcterms:created xsi:type="dcterms:W3CDTF">2018-09-09T08:19:00Z</dcterms:created>
  <dcterms:modified xsi:type="dcterms:W3CDTF">2018-09-09T08:22:00Z</dcterms:modified>
</cp:coreProperties>
</file>